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8"/>
        <w:rPr>
          <w:sz w:val="26"/>
        </w:rPr>
      </w:pPr>
    </w:p>
    <w:p>
      <w:pPr>
        <w:spacing w:before="1"/>
        <w:ind w:left="110" w:right="0" w:firstLine="0"/>
        <w:jc w:val="left"/>
        <w:rPr>
          <w:b/>
          <w:sz w:val="19"/>
        </w:rPr>
      </w:pPr>
      <w:r>
        <w:rPr>
          <w:b/>
          <w:w w:val="105"/>
          <w:sz w:val="19"/>
        </w:rPr>
        <w:t>Note:</w:t>
      </w:r>
    </w:p>
    <w:p>
      <w:pPr>
        <w:spacing w:line="312" w:lineRule="auto" w:before="78"/>
        <w:ind w:left="110" w:right="820" w:firstLine="0"/>
        <w:jc w:val="left"/>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w:t>
      </w:r>
      <w:r>
        <w:rPr>
          <w:w w:val="105"/>
          <w:sz w:val="16"/>
        </w:rPr>
        <w:t>Adjustments</w:t>
      </w:r>
      <w:r>
        <w:rPr>
          <w:spacing w:val="-10"/>
          <w:w w:val="105"/>
          <w:sz w:val="16"/>
        </w:rPr>
        <w:t> </w:t>
      </w:r>
      <w:r>
        <w:rPr>
          <w:w w:val="105"/>
          <w:sz w:val="16"/>
        </w:rPr>
        <w:t>of</w:t>
      </w:r>
      <w:r>
        <w:rPr>
          <w:spacing w:val="-7"/>
          <w:w w:val="105"/>
          <w:sz w:val="16"/>
        </w:rPr>
        <w:t> </w:t>
      </w:r>
      <w:r>
        <w:rPr>
          <w:w w:val="105"/>
          <w:sz w:val="16"/>
        </w:rPr>
        <w:t>Prior-Year</w:t>
      </w:r>
      <w:r>
        <w:rPr>
          <w:spacing w:val="-7"/>
          <w:w w:val="105"/>
          <w:sz w:val="16"/>
        </w:rPr>
        <w:t> </w:t>
      </w:r>
      <w:r>
        <w:rPr>
          <w:w w:val="105"/>
          <w:sz w:val="16"/>
        </w:rPr>
        <w:t>Unpaid</w:t>
      </w:r>
      <w:r>
        <w:rPr>
          <w:spacing w:val="-14"/>
          <w:w w:val="105"/>
          <w:sz w:val="16"/>
        </w:rPr>
        <w:t> </w:t>
      </w:r>
      <w:r>
        <w:rPr>
          <w:w w:val="105"/>
          <w:sz w:val="16"/>
        </w:rPr>
        <w:t>Delivered</w:t>
      </w:r>
      <w:r>
        <w:rPr>
          <w:spacing w:val="-9"/>
          <w:w w:val="105"/>
          <w:sz w:val="16"/>
        </w:rPr>
        <w:t> </w:t>
      </w:r>
      <w:r>
        <w:rPr>
          <w:w w:val="105"/>
          <w:sz w:val="16"/>
        </w:rPr>
        <w:t>Orders–Obligations,</w:t>
      </w:r>
      <w:r>
        <w:rPr>
          <w:spacing w:val="-13"/>
          <w:w w:val="105"/>
          <w:sz w:val="16"/>
        </w:rPr>
        <w:t> </w:t>
      </w:r>
      <w:r>
        <w:rPr>
          <w:w w:val="105"/>
          <w:sz w:val="16"/>
        </w:rPr>
        <w:t>Recoveries,”</w:t>
      </w:r>
      <w:r>
        <w:rPr>
          <w:spacing w:val="-13"/>
          <w:w w:val="105"/>
          <w:sz w:val="16"/>
        </w:rPr>
        <w:t> </w:t>
      </w:r>
      <w:r>
        <w:rPr>
          <w:w w:val="105"/>
          <w:sz w:val="16"/>
        </w:rPr>
        <w:t>and</w:t>
      </w:r>
      <w:r>
        <w:rPr>
          <w:spacing w:val="-8"/>
          <w:w w:val="105"/>
          <w:sz w:val="16"/>
        </w:rPr>
        <w:t> </w:t>
      </w:r>
      <w:r>
        <w:rPr>
          <w:w w:val="105"/>
          <w:sz w:val="16"/>
        </w:rPr>
        <w:t>497200,</w:t>
      </w:r>
      <w:r>
        <w:rPr>
          <w:spacing w:val="-13"/>
          <w:w w:val="105"/>
          <w:sz w:val="16"/>
        </w:rPr>
        <w:t> </w:t>
      </w:r>
      <w:r>
        <w:rPr>
          <w:w w:val="105"/>
          <w:sz w:val="16"/>
        </w:rPr>
        <w:t>“Downward</w:t>
      </w:r>
      <w:r>
        <w:rPr>
          <w:spacing w:val="-11"/>
          <w:w w:val="105"/>
          <w:sz w:val="16"/>
        </w:rPr>
        <w:t>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4"/>
          <w:w w:val="105"/>
          <w:sz w:val="16"/>
        </w:rPr>
        <w:t> </w:t>
      </w:r>
      <w:r>
        <w:rPr>
          <w:w w:val="105"/>
          <w:sz w:val="16"/>
        </w:rPr>
        <w:t>properly.</w:t>
      </w:r>
    </w:p>
    <w:p>
      <w:pPr>
        <w:pStyle w:val="BodyText"/>
        <w:spacing w:before="3"/>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500"/>
        <w:gridCol w:w="1620"/>
      </w:tblGrid>
      <w:tr>
        <w:trPr>
          <w:trHeight w:val="315" w:hRule="atLeast"/>
        </w:trPr>
        <w:tc>
          <w:tcPr>
            <w:tcW w:w="4500" w:type="dxa"/>
          </w:tcPr>
          <w:p>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500" w:type="dxa"/>
          </w:tcPr>
          <w:p>
            <w:pPr>
              <w:pStyle w:val="TableParagraph"/>
              <w:rPr>
                <w:sz w:val="24"/>
              </w:rPr>
            </w:pPr>
            <w:r>
              <w:rPr>
                <w:sz w:val="24"/>
              </w:rPr>
              <w:t>USSGL Attribute Definition Report (ADR)</w:t>
            </w:r>
          </w:p>
        </w:tc>
        <w:tc>
          <w:tcPr>
            <w:tcW w:w="1620" w:type="dxa"/>
            <w:tcBorders>
              <w:right w:val="single" w:sz="12" w:space="0" w:color="818181"/>
            </w:tcBorders>
          </w:tcPr>
          <w:p>
            <w:pPr>
              <w:pStyle w:val="TableParagraph"/>
              <w:rPr>
                <w:sz w:val="24"/>
              </w:rPr>
            </w:pPr>
            <w:r>
              <w:rPr>
                <w:sz w:val="24"/>
              </w:rPr>
              <w:t>IV ADR - 1</w:t>
            </w:r>
          </w:p>
        </w:tc>
      </w:tr>
      <w:tr>
        <w:trPr>
          <w:trHeight w:val="315" w:hRule="atLeast"/>
        </w:trPr>
        <w:tc>
          <w:tcPr>
            <w:tcW w:w="4500" w:type="dxa"/>
            <w:tcBorders>
              <w:bottom w:val="single" w:sz="12" w:space="0" w:color="818181"/>
            </w:tcBorders>
          </w:tcPr>
          <w:p>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pPr>
              <w:pStyle w:val="TableParagraph"/>
              <w:rPr>
                <w:sz w:val="24"/>
              </w:rPr>
            </w:pPr>
            <w:r>
              <w:rPr>
                <w:sz w:val="24"/>
              </w:rPr>
              <w:t>IV AT - 1</w:t>
            </w:r>
          </w:p>
        </w:tc>
      </w:tr>
    </w:tbl>
    <w:p>
      <w:pPr>
        <w:pStyle w:val="BodyText"/>
        <w:rPr>
          <w:sz w:val="18"/>
        </w:rPr>
      </w:pPr>
    </w:p>
    <w:p>
      <w:pPr>
        <w:pStyle w:val="BodyText"/>
        <w:spacing w:before="3"/>
        <w:rPr>
          <w:sz w:val="17"/>
        </w:rPr>
      </w:pPr>
    </w:p>
    <w:p>
      <w:pPr>
        <w:spacing w:before="0"/>
        <w:ind w:left="0" w:right="106"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dcterms:created xsi:type="dcterms:W3CDTF">2020-05-14T10:43:58Z</dcterms:created>
  <dcterms:modified xsi:type="dcterms:W3CDTF">2020-05-14T10:43:58Z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